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200"/>
      </w:pPr>
      <w:r>
        <w:rPr>
          <w:rFonts w:ascii="Arial" w:cs="Arial" w:eastAsia="Arial" w:hAnsi="Arial"/>
          <w:b/>
          <w:bCs/>
          <w:color w:val="111111"/>
          <w:sz w:val="46"/>
          <w:szCs w:val="46"/>
        </w:rPr>
        <w:t xml:space="preserve">Business Plan</w:t>
      </w:r>
    </w:p>
    <w:p>
      <w:pPr>
        <w:spacing w:after="3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TCL Universal Bridge</w:t>
      </w:r>
    </w:p>
    <w:p>
      <w:pPr>
        <w:spacing w:after="160"/>
      </w:pPr>
      <w:r>
        <w:rPr>
          <w:i/>
          <w:iCs/>
          <w:color w:val="555555"/>
          <w:sz w:val="22"/>
          <w:szCs w:val="22"/>
        </w:rPr>
        <w:t xml:space="preserve">Interoperability as a service for the smart home</w:t>
      </w:r>
    </w:p>
    <w:p>
      <w:pPr>
        <w:pBdr>
          <w:bottom w:val="single" w:color="2E75B6" w:sz="6" w:space="1"/>
        </w:pBdr>
        <w:spacing w:after="160"/>
      </w:pPr>
      <w:r>
        <w:t xml:space="preserve"/>
      </w:r>
    </w:p>
    <w:p>
      <w:pPr>
        <w:spacing w:after="140" w:line="276"/>
      </w:pPr>
      <w:r>
        <w:rPr>
          <w:b/>
          <w:bCs/>
        </w:rPr>
        <w:t xml:space="preserve">Company: </w:t>
      </w:r>
      <w:r>
        <w:t xml:space="preserve">TCL Tech — TCL Universal Bridge</w:t>
      </w:r>
      <w:r>
        <w:rPr>
          <w:b/>
          <w:bCs/>
        </w:rPr>
        <w:t xml:space="preserve">        Prepared for: </w:t>
      </w:r>
      <w:r>
        <w:t xml:space="preserve">Phil</w:t>
      </w:r>
      <w:r>
        <w:rPr>
          <w:b/>
          <w:bCs/>
        </w:rPr>
        <w:t xml:space="preserve">        Date: </w:t>
      </w:r>
      <w:r>
        <w:t xml:space="preserve">2026-05-29</w:t>
      </w:r>
    </w:p>
    <w:p>
      <w:pPr>
        <w:spacing w:after="80"/>
      </w:pPr>
      <w:r>
        <w:t xml:space="preserve"/>
      </w:r>
    </w:p>
    <w:sdt>
      <w:sdtPr>
        <w:alias w:val="Contents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t xml:space="preserve">1. Executive summary</w:t>
      </w:r>
    </w:p>
    <w:p>
      <w:pPr>
        <w:spacing w:after="140" w:line="276"/>
      </w:pPr>
      <w:r>
        <w:t xml:space="preserve">TCL Universal Bridge is a software translator that lets a device which natively works with only one home-automation ecosystem be controlled from another. A working product already bridges URC Total Control to the Hi-Fi Rose RS520 and absorbs the manufacturer’s firmware changes so dealer systems never break. We have re-architected that single-purpose bridge into an N-way universal translator across Control4, URC, and Josh AI, dramatically expanding the addressable market.</w:t>
      </w:r>
    </w:p>
    <w:p>
      <w:pPr>
        <w:spacing w:after="140" w:line="276"/>
      </w:pPr>
      <w:r>
        <w:t xml:space="preserve">We monetize with a hybrid land-and-expand model: a high-volume $9/month self-serve tier for prosumers, layered on the existing dealer and enterprise subscriptions. A free, viral ‘Compatibility Oracle’ drives top-of-funnel. The base plan reaches 100,000+ paid units in early Year 4, ~$15.7M ARR by Year 3 and ~$33.9M ARR by Year 5, is EBITDA-positive from Year 2, and has a peak unfunded cash need under $0.6M — a capital-efficient profile. We are raising a $3.5M seed to compress the timeline and fund vendor certifications.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72"/>
        <w:gridCol w:w="1500"/>
        <w:gridCol w:w="1500"/>
        <w:gridCol w:w="1500"/>
        <w:gridCol w:w="1488"/>
        <w:gridCol w:w="1500"/>
      </w:tblGrid>
      <w:tr>
        <w:trPr>
          <w:tblHeader/>
        </w:trPr>
        <w:tc>
          <w:tcPr>
            <w:tcW w:type="dxa" w:w="1872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Y1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Y2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Y3</w:t>
            </w:r>
          </w:p>
        </w:tc>
        <w:tc>
          <w:tcPr>
            <w:tcW w:type="dxa" w:w="1488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Y4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Y5</w:t>
            </w:r>
          </w:p>
        </w:tc>
      </w:tr>
      <w:tr>
        <w:trPr>
          <w:tblHeader w:val="false"/>
        </w:trPr>
        <w:tc>
          <w:tcPr>
            <w:tcW w:type="dxa" w:w="1872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Paid units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9,100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42,300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90,800</w:t>
            </w:r>
          </w:p>
        </w:tc>
        <w:tc>
          <w:tcPr>
            <w:tcW w:type="dxa" w:w="1488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140,000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192,200</w:t>
            </w:r>
          </w:p>
        </w:tc>
      </w:tr>
      <w:tr>
        <w:trPr>
          <w:tblHeader w:val="false"/>
        </w:trPr>
        <w:tc>
          <w:tcPr>
            <w:tcW w:type="dxa" w:w="1872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ARR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$1.64M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$7.14M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$15.70M</w:t>
            </w:r>
          </w:p>
        </w:tc>
        <w:tc>
          <w:tcPr>
            <w:tcW w:type="dxa" w:w="1488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$24.49M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$33.90M</w:t>
            </w:r>
          </w:p>
        </w:tc>
      </w:tr>
      <w:tr>
        <w:trPr>
          <w:tblHeader w:val="false"/>
        </w:trPr>
        <w:tc>
          <w:tcPr>
            <w:tcW w:type="dxa" w:w="1872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Revenue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$3.28M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$12.01M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$25.12M</w:t>
            </w:r>
          </w:p>
        </w:tc>
        <w:tc>
          <w:tcPr>
            <w:tcW w:type="dxa" w:w="1488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$35.69M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$47.33M</w:t>
            </w:r>
          </w:p>
        </w:tc>
      </w:tr>
      <w:tr>
        <w:trPr>
          <w:tblHeader w:val="false"/>
        </w:trPr>
        <w:tc>
          <w:tcPr>
            <w:tcW w:type="dxa" w:w="1872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EBITDA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($0.56M)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$3.01M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$10.45M</w:t>
            </w:r>
          </w:p>
        </w:tc>
        <w:tc>
          <w:tcPr>
            <w:tcW w:type="dxa" w:w="1488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$16.53M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$23.73M</w:t>
            </w:r>
          </w:p>
        </w:tc>
      </w:tr>
    </w:tbl>
    <w:p>
      <w:pPr>
        <w:pStyle w:val="Heading1"/>
      </w:pPr>
      <w:r>
        <w:t xml:space="preserve">2. Problem</w:t>
      </w:r>
    </w:p>
    <w:p>
      <w:pPr>
        <w:spacing w:after="140" w:line="276"/>
      </w:pPr>
      <w:r>
        <w:t xml:space="preserve">Premium home-automation ecosystems are deliberately closed. Control4, URC, and Josh AI each control their own certified devices and resist the others. The cost lands on everyone: homeowners replace working hardware or abandon features; integrators lose jobs and bill unpaid hours chasing compatibility; device makers lose sales because their product ‘doesn’t work with’ the buyer’s system. Compounding this, manufacturers ship firmware that silently breaks the unofficial integrations dealers rely on (Hi-Fi Rose changes its control API roughly every 6–10 weeks).</w:t>
      </w:r>
    </w:p>
    <w:p>
      <w:pPr>
        <w:pStyle w:val="Heading1"/>
      </w:pPr>
      <w:r>
        <w:t xml:space="preserve">3. Solution</w:t>
      </w:r>
    </w:p>
    <w:p>
      <w:pPr>
        <w:spacing w:after="140" w:line="276"/>
      </w:pPr>
      <w:r>
        <w:t xml:space="preserve">A hub-and-spoke translator. Every ecosystem speaks one neutral, canonical vocabulary in the middle; vendor-specific adapters are the only components that know a real protocol. A command from any controller is translated to canonical form and dispatched to whichever ecosystem owns the target device. The live Hi-Fi Rose integration proves the architecture; the same /v2 surface accepts Control4, URC, and Josh AI. Firmware drift is absorbed at the adapter boundary, so the customer’s programmed system never changes — that maintenance guarantee is a recurring-revenue moat.</w:t>
      </w:r>
    </w:p>
    <w:p>
      <w:pPr>
        <w:pStyle w:val="Heading1"/>
      </w:pPr>
      <w:r>
        <w:t xml:space="preserve">4. Product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Universal translator service (the /v2 control plane): discovery, canonical commands, native ingress per ecosystem, state feedback, and events.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Live Hi-Fi Rose adapter; Control4 (Director), URC (Accelerator/IP), and Josh AI (Nimble intents) adapters built to public protocol shapes, activating as credentials/partnerships land.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Dealer portal: deployments, audit logs, per-firmware compatibility certificates, white-label driver packages.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Compatibility Oracle: free instant checker + shareable certificate; the acquisition engine.</w:t>
      </w:r>
    </w:p>
    <w:p>
      <w:pPr>
        <w:pStyle w:val="Heading1"/>
      </w:pPr>
      <w:r>
        <w:t xml:space="preserve">5. Market (illustrative)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700"/>
        <w:gridCol w:w="5260"/>
      </w:tblGrid>
      <w:tr>
        <w:trPr>
          <w:tblHeader/>
        </w:trP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Layer</w:t>
            </w:r>
          </w:p>
        </w:tc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Size</w:t>
            </w:r>
          </w:p>
        </w:tc>
        <w:tc>
          <w:tcPr>
            <w:tcW w:type="dxa" w:w="52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Definition</w:t>
            </w:r>
          </w:p>
        </w:tc>
      </w:tr>
      <w:tr>
        <w:trPr>
          <w:tblHeader w:val="false"/>
        </w:trP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TAM</w:t>
            </w:r>
          </w:p>
        </w:tc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~$1.0B+/yr</w:t>
            </w:r>
          </w:p>
        </w:tc>
        <w:tc>
          <w:tcPr>
            <w:tcW w:type="dxa" w:w="52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Homes globally with ≥1 premium control system plus interoperability need, and the prosumer smart-home segment — at ~$100/yr interop ARPU, plus dealer/enterprise.</w:t>
            </w:r>
          </w:p>
        </w:tc>
      </w:tr>
      <w:tr>
        <w:trPr>
          <w:tblHeader w:val="false"/>
        </w:trP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SAM</w:t>
            </w:r>
          </w:p>
        </w:tc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~$250M/yr</w:t>
            </w:r>
          </w:p>
        </w:tc>
        <w:tc>
          <w:tcPr>
            <w:tcW w:type="dxa" w:w="52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English-speaking markets on our supported ecosystems (Control4, URC, Josh AI) reachable via self-serve + dealer channel.</w:t>
            </w:r>
          </w:p>
        </w:tc>
      </w:tr>
      <w:tr>
        <w:trPr>
          <w:tblHeader w:val="false"/>
        </w:trP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SOM (5-yr)</w:t>
            </w:r>
          </w:p>
        </w:tc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~$34M ARR</w:t>
            </w:r>
          </w:p>
        </w:tc>
        <w:tc>
          <w:tcPr>
            <w:tcW w:type="dxa" w:w="52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Our base-case Year-5 ARR — roughly 190k paid units, a low-single-digit share of SAM.</w:t>
            </w:r>
          </w:p>
        </w:tc>
      </w:tr>
    </w:tbl>
    <w:p>
      <w:pPr>
        <w:spacing w:after="140" w:line="276"/>
      </w:pPr>
      <w:r>
        <w:t xml:space="preserve">The market expands as we certify additional ecosystems (Savant, Lutron, Crestron Home) — each new adapter multiplies the reachable pairs without changing the core.</w:t>
      </w:r>
    </w:p>
    <w:p>
      <w:pPr>
        <w:pStyle w:val="Heading1"/>
      </w:pPr>
      <w:r>
        <w:t xml:space="preserve">6. Business model</w:t>
      </w:r>
    </w:p>
    <w:p>
      <w:pPr>
        <w:spacing w:after="140" w:line="276"/>
      </w:pPr>
      <w:r>
        <w:t xml:space="preserve">Subscription-first with one-time setup on professional tiers. Four tiers (Maker $9/mo; Pro $49/mo + $1,995; Dealer Toolkit $199/mo + $4,995; Enterprise $999/mo + $14,995) on one product. Recurring revenue overtakes one-time setup by Year 2 as the self-serve base compounds. Gross margin ~85% (software SaaS).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1500"/>
        <w:gridCol w:w="1500"/>
        <w:gridCol w:w="1500"/>
        <w:gridCol w:w="1460"/>
        <w:gridCol w:w="1500"/>
      </w:tblGrid>
      <w:tr>
        <w:trPr>
          <w:tblHeader/>
        </w:trPr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Unit economics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Maker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Pro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Dealer</w:t>
            </w:r>
          </w:p>
        </w:tc>
        <w:tc>
          <w:tcPr>
            <w:tcW w:type="dxa" w:w="1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Enterprise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Target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LTV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$347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$4,165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$25,372</w:t>
            </w:r>
          </w:p>
        </w:tc>
        <w:tc>
          <w:tcPr>
            <w:tcW w:type="dxa" w:w="1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$203,796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LTV : CAC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9.9x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10.4x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16.9x</w:t>
            </w:r>
          </w:p>
        </w:tc>
        <w:tc>
          <w:tcPr>
            <w:tcW w:type="dxa" w:w="1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34.0x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≥ 3x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CAC payback (mo)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4.8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9.6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8.9</w:t>
            </w:r>
          </w:p>
        </w:tc>
        <w:tc>
          <w:tcPr>
            <w:tcW w:type="dxa" w:w="1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7.1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&lt; 12</w:t>
            </w:r>
          </w:p>
        </w:tc>
      </w:tr>
    </w:tbl>
    <w:p>
      <w:pPr>
        <w:pStyle w:val="Heading1"/>
      </w:pPr>
      <w:r>
        <w:t xml:space="preserve">7. Go-to-market (summary)</w:t>
      </w:r>
    </w:p>
    <w:p>
      <w:pPr>
        <w:spacing w:after="140" w:line="276"/>
      </w:pPr>
      <w:r>
        <w:t xml:space="preserve">Product-led self-serve for Maker (the free Compatibility Oracle → $9/mo), a dealer channel for the install base, and direct sales for enterprise/hospitality. Growth loops: programmatic SEO on compatibility pairs, certificate sharing, ‘Works with TCL Bridge’ badges, and dealer referrals. See the Marketing &amp; GTM Plan for the full strategy, hook, gimmick, and campaign calendar.</w:t>
      </w:r>
    </w:p>
    <w:p>
      <w:pPr>
        <w:pStyle w:val="Heading1"/>
      </w:pPr>
      <w:r>
        <w:t xml:space="preserve">8. Competition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3530"/>
        <w:gridCol w:w="3530"/>
      </w:tblGrid>
      <w:tr>
        <w:trPr>
          <w:tblHeader/>
        </w:trP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Alternative</w:t>
            </w:r>
          </w:p>
        </w:tc>
        <w:tc>
          <w:tcPr>
            <w:tcW w:type="dxa" w:w="35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Strength</w:t>
            </w:r>
          </w:p>
        </w:tc>
        <w:tc>
          <w:tcPr>
            <w:tcW w:type="dxa" w:w="35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Why we win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Home Assistant (DIY, free)</w:t>
            </w:r>
          </w:p>
        </w:tc>
        <w:tc>
          <w:tcPr>
            <w:tcW w:type="dxa" w:w="35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Free, huge community</w:t>
            </w:r>
          </w:p>
        </w:tc>
        <w:tc>
          <w:tcPr>
            <w:tcW w:type="dxa" w:w="35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Technical/maintenance burden; we are turnkey, supported, and dealer-grade with firmware-drift maintenance.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Vendor-native bridges</w:t>
            </w:r>
          </w:p>
        </w:tc>
        <w:tc>
          <w:tcPr>
            <w:tcW w:type="dxa" w:w="35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First-party, trusted</w:t>
            </w:r>
          </w:p>
        </w:tc>
        <w:tc>
          <w:tcPr>
            <w:tcW w:type="dxa" w:w="35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Vendors bridge into their own ecosystem only; we are neutral across all three and beyond.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Hubs (Hubitat, Homey)</w:t>
            </w:r>
          </w:p>
        </w:tc>
        <w:tc>
          <w:tcPr>
            <w:tcW w:type="dxa" w:w="35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Consumer-friendly</w:t>
            </w:r>
          </w:p>
        </w:tc>
        <w:tc>
          <w:tcPr>
            <w:tcW w:type="dxa" w:w="35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Aimed at mass-market IoT, not premium Control4/URC/Josh interoperability.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Custom one-off integration</w:t>
            </w:r>
          </w:p>
        </w:tc>
        <w:tc>
          <w:tcPr>
            <w:tcW w:type="dxa" w:w="35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Tailored</w:t>
            </w:r>
          </w:p>
        </w:tc>
        <w:tc>
          <w:tcPr>
            <w:tcW w:type="dxa" w:w="35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Expensive, fragile, unmaintained; we are productized, certified, and maintained.</w:t>
            </w:r>
          </w:p>
        </w:tc>
      </w:tr>
    </w:tbl>
    <w:p>
      <w:pPr>
        <w:pStyle w:val="Heading1"/>
      </w:pPr>
      <w:r>
        <w:t xml:space="preserve">9. SWOT analysis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6F4E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80"/>
            </w:pPr>
            <w:r>
              <w:rPr>
                <w:b/>
                <w:bCs/>
                <w:color w:val="1F3B57"/>
                <w:sz w:val="22"/>
                <w:szCs w:val="22"/>
              </w:rPr>
              <w:t xml:space="preserve">Strengths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Live, shipping product (URC↔Rose) as proof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Firmware-drift maintenance = recurring-revenue moat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Capital-light ~85%-margin SaaS; strong unit economics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Existing dealer pricing, portal, audit/cert tooling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Re-usable simulator powering the Oracle gimmick</w:t>
            </w:r>
          </w:p>
        </w:tc>
        <w:tc>
          <w:tcPr>
            <w:tcW w:type="dxa" w:w="46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4E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80"/>
            </w:pPr>
            <w:r>
              <w:rPr>
                <w:b/>
                <w:bCs/>
                <w:color w:val="1F3B57"/>
                <w:sz w:val="22"/>
                <w:szCs w:val="22"/>
              </w:rPr>
              <w:t xml:space="preserve">Weaknesses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Reverse-engineered protocols can break on firmware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Device-hosting for C4/URC/Josh is partnership-gated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Low category awareness; education needed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Small team; certifications take time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Maker tier requires high volume to matter</w:t>
            </w:r>
          </w:p>
        </w:tc>
      </w:tr>
      <w:tr>
        <w:tc>
          <w:tcPr>
            <w:tcW w:type="dxa" w:w="46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8F0FE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80"/>
            </w:pPr>
            <w:r>
              <w:rPr>
                <w:b/>
                <w:bCs/>
                <w:color w:val="1F3B57"/>
                <w:sz w:val="22"/>
                <w:szCs w:val="22"/>
              </w:rPr>
              <w:t xml:space="preserve">Opportunities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Huge installed base of ‘trapped’ incompatible devices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Prosumer/DIY smart-home wave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Hospitality/MDU multi-ecosystem properties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Adapter marketplace + ‘Works with’ badge platform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Add Savant/Lutron/Crestron to multiply pairs</w:t>
            </w:r>
          </w:p>
        </w:tc>
        <w:tc>
          <w:tcPr>
            <w:tcW w:type="dxa" w:w="46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BE9E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80"/>
            </w:pPr>
            <w:r>
              <w:rPr>
                <w:b/>
                <w:bCs/>
                <w:color w:val="1F3B57"/>
                <w:sz w:val="22"/>
                <w:szCs w:val="22"/>
              </w:rPr>
              <w:t xml:space="preserve">Threats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Vendors closing APIs or shipping their own bridges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Legal/ToS risk around reverse engineering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Free alternatives (Home Assistant) on the DIY edge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Platform dependency on three roadmaps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8"/>
                <w:szCs w:val="18"/>
              </w:rPr>
              <w:t xml:space="preserve">Channel resistance from incumbent integrators</w:t>
            </w:r>
          </w:p>
        </w:tc>
      </w:tr>
    </w:tbl>
    <w:p>
      <w:pPr>
        <w:pStyle w:val="Heading1"/>
      </w:pPr>
      <w:r>
        <w:t xml:space="preserve">10. Operations &amp; team</w:t>
      </w:r>
    </w:p>
    <w:p>
      <w:pPr>
        <w:spacing w:after="140" w:line="276"/>
      </w:pPr>
      <w:r>
        <w:t xml:space="preserve">Lean software operation: a single deployable service (Docker), dealer portal, and self-serve billing. Near-term hires funded by the raise: two protocol/adapter engineers, a developer-relations/partnerships lead (to drive Control4 DriverWorks, Josh Nimble, and URC dealer certifications), a growth marketer (SEO/PLG), and a customer-success/support lead. Legal counsel on IP and reverse-engineering posture is an explicit early investment.</w:t>
      </w:r>
    </w:p>
    <w:p>
      <w:pPr>
        <w:pStyle w:val="Heading1"/>
      </w:pPr>
      <w:r>
        <w:t xml:space="preserve">11. Milestones (18 months)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M0–3: Compatibility Oracle live; Maker tier + self-serve billing; ‘100 Days to 100k’ launch.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M3–6: Control4 Director certification path; CEDIA presence; first 10k paid units.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M6–12: Josh AI Nimble partnership; ‘Works with’ badge program; ~40k paid units; EBITDA-positive.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M12–18: Enterprise/hospitality references; adapter marketplace beta; approaching 90k–100k paid units.</w:t>
      </w:r>
    </w:p>
    <w:p>
      <w:pPr>
        <w:pStyle w:val="Heading1"/>
      </w:pPr>
      <w:r>
        <w:t xml:space="preserve">12. Risks &amp; mitigations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Firmware/API change: </w:t>
      </w:r>
      <w:r>
        <w:t xml:space="preserve">adapter-boundary isolation + firmware pinning + a regression/certification suite (already core to the product).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Partnership gating: </w:t>
      </w:r>
      <w:r>
        <w:t xml:space="preserve">dedicated DevRel; ship value via the controller side and mock/standby device hosts until credentials land.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Legal/IP: </w:t>
      </w:r>
      <w:r>
        <w:t xml:space="preserve">early counsel; prefer official SDKs where available; clean-room practices and clear ToS posture.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Free alternatives: </w:t>
      </w:r>
      <w:r>
        <w:t xml:space="preserve">compete on turnkey support, dealer grade, and maintenance — not price — for non-DIY buyers.</w:t>
      </w:r>
    </w:p>
    <w:p>
      <w:pPr>
        <w:spacing w:after="80"/>
      </w:pPr>
      <w:r>
        <w:t xml:space="preserve"/>
      </w:r>
    </w:p>
    <w:p>
      <w:pPr>
        <w:pBdr>
          <w:bottom w:val="single" w:color="2E75B6" w:sz="6" w:space="1"/>
        </w:pBdr>
        <w:spacing w:after="160"/>
      </w:pPr>
      <w:r>
        <w:t xml:space="preserve"/>
      </w:r>
    </w:p>
    <w:p>
      <w:pPr>
        <w:spacing w:after="140" w:line="276"/>
      </w:pPr>
      <w:r>
        <w:rPr>
          <w:b/>
          <w:bCs/>
          <w:color w:val="990000"/>
        </w:rPr>
        <w:t xml:space="preserve">Disclaimer. </w:t>
      </w:r>
      <w:r>
        <w:rPr>
          <w:i/>
          <w:iCs/>
          <w:color w:val="777777"/>
          <w:sz w:val="18"/>
          <w:szCs w:val="18"/>
        </w:rPr>
        <w:t xml:space="preserve">This document is for information and planning only. It is not an offer to sell or a solicitation to buy any security, and it is not investment, legal, tax, or accounting advice. All projections are illustrative, depend on the stated assumptions, and are not a guarantee of future results. Reverse-engineered and partnership-gated integrations carry execution and legal risk; consult qualified professionals before making decisions.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5"/>
        <w:szCs w:val="15"/>
      </w:rPr>
      <w:t xml:space="preserve">TCL Universal Bridge  ·  Confidential  ·  Page </w:t>
    </w:r>
    <w:r>
      <w:rPr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888888"/>
        <w:sz w:val="15"/>
        <w:szCs w:val="15"/>
      </w:rPr>
      <w:t xml:space="preserve"> of </w:t>
    </w:r>
    <w:r>
      <w:rPr>
        <w:color w:val="888888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2" w:space="2"/>
      </w:pBdr>
      <w:jc w:val="right"/>
    </w:pPr>
    <w:r>
      <w:rPr>
        <w:color w:val="888888"/>
        <w:sz w:val="15"/>
        <w:szCs w:val="15"/>
      </w:rPr>
      <w:t xml:space="preserve">Business Plan — TCL Universal Bridge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  <w:lvl w:ilvl="1" w15:tentative="1">
      <w:start w:val="1"/>
      <w:numFmt w:val="bullet"/>
      <w:lvlText w:val="◦"/>
      <w:lvlJc w:val="left"/>
      <w:pPr>
        <w:ind w:left="92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9DC3E6" w:sz="4" w:space="4"/>
      </w:pBdr>
      <w:spacing w:after="150" w:before="280"/>
      <w:outlineLvl w:val="0"/>
    </w:pPr>
    <w:rPr>
      <w:rFonts w:ascii="Arial" w:cs="Arial" w:eastAsia="Arial" w:hAnsi="Arial"/>
      <w:b/>
      <w:bCs/>
      <w:color w:val="1F3B57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10" w:before="200"/>
      <w:outlineLvl w:val="1"/>
    </w:pPr>
    <w:rPr>
      <w:rFonts w:ascii="Arial" w:cs="Arial" w:eastAsia="Arial" w:hAnsi="Arial"/>
      <w:b/>
      <w:bCs/>
      <w:color w:val="2E75B6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90" w:before="150"/>
      <w:outlineLvl w:val="2"/>
    </w:pPr>
    <w:rPr>
      <w:rFonts w:ascii="Arial" w:cs="Arial" w:eastAsia="Arial" w:hAnsi="Arial"/>
      <w:b/>
      <w:bCs/>
      <w:color w:val="333333"/>
      <w:sz w:val="21"/>
      <w:szCs w:val="21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— TCL Universal Bridge</dc:title>
  <dc:creator>TCL Tech</dc:creator>
  <cp:lastModifiedBy>Un-named</cp:lastModifiedBy>
  <cp:revision>1</cp:revision>
  <dcterms:created xsi:type="dcterms:W3CDTF">2026-05-29T11:55:33.293Z</dcterms:created>
  <dcterms:modified xsi:type="dcterms:W3CDTF">2026-05-29T11:55:33.293Z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