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200"/>
      </w:pPr>
      <w:r>
        <w:rPr>
          <w:rFonts w:ascii="Arial" w:cs="Arial" w:eastAsia="Arial" w:hAnsi="Arial"/>
          <w:b/>
          <w:bCs/>
          <w:color w:val="111111"/>
          <w:sz w:val="46"/>
          <w:szCs w:val="46"/>
        </w:rPr>
        <w:t xml:space="preserve">Investor Prospectus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TCL Universal Bridge</w:t>
      </w:r>
    </w:p>
    <w:p>
      <w:pPr>
        <w:spacing w:after="160"/>
      </w:pPr>
      <w:r>
        <w:rPr>
          <w:i/>
          <w:iCs/>
          <w:color w:val="555555"/>
          <w:sz w:val="22"/>
          <w:szCs w:val="22"/>
        </w:rPr>
        <w:t xml:space="preserve">Seed round — information memorandum (illustrative)</w:t>
      </w:r>
    </w:p>
    <w:p>
      <w:pPr>
        <w:pBdr>
          <w:bottom w:val="single" w:color="2E75B6" w:sz="6" w:space="1"/>
        </w:pBdr>
        <w:spacing w:after="160"/>
      </w:pPr>
      <w:r>
        <w:t xml:space="preserve"/>
      </w:r>
    </w:p>
    <w:p>
      <w:pPr>
        <w:spacing w:after="140" w:line="276"/>
      </w:pPr>
      <w:r>
        <w:rPr>
          <w:b/>
          <w:bCs/>
        </w:rPr>
        <w:t xml:space="preserve">Company: </w:t>
      </w:r>
      <w:r>
        <w:t xml:space="preserve">TCL Tech — TCL Universal Bridge</w:t>
      </w:r>
      <w:r>
        <w:rPr>
          <w:b/>
          <w:bCs/>
        </w:rPr>
        <w:t xml:space="preserve">        Prepared for: </w:t>
      </w:r>
      <w:r>
        <w:t xml:space="preserve">Phil</w:t>
      </w:r>
      <w:r>
        <w:rPr>
          <w:b/>
          <w:bCs/>
        </w:rPr>
        <w:t xml:space="preserve">        Date: </w:t>
      </w:r>
      <w:r>
        <w:t xml:space="preserve">2026-05-29</w:t>
      </w:r>
    </w:p>
    <w:p>
      <w:pPr>
        <w:spacing w:after="140" w:line="276"/>
      </w:pPr>
      <w:r>
        <w:rPr>
          <w:b/>
          <w:bCs/>
          <w:color w:val="990000"/>
        </w:rPr>
        <w:t xml:space="preserve">Disclaimer. </w:t>
      </w:r>
      <w:r>
        <w:rPr>
          <w:i/>
          <w:iCs/>
          <w:color w:val="777777"/>
          <w:sz w:val="18"/>
          <w:szCs w:val="18"/>
        </w:rPr>
        <w:t xml:space="preserve">This document is for information and planning only. It is not an offer to sell or a solicitation to buy any security, and it is not investment, legal, tax, or accounting advice. All projections are illustrative, depend on the stated assumptions, and are not a guarantee of future results. Reverse-engineered and partnership-gated integrations carry execution and legal risk; consult qualified professionals before making decisions.</w:t>
      </w:r>
    </w:p>
    <w:p>
      <w:pPr>
        <w:spacing w:after="80"/>
      </w:pPr>
      <w:r>
        <w:t xml:space="preserve"/>
      </w:r>
    </w:p>
    <w:p>
      <w:pPr>
        <w:pStyle w:val="Heading1"/>
      </w:pPr>
      <w:r>
        <w:t xml:space="preserve">The opportunity</w:t>
      </w:r>
    </w:p>
    <w:p>
      <w:pPr>
        <w:spacing w:after="140" w:line="276"/>
      </w:pPr>
      <w:r>
        <w:t xml:space="preserve">Premium home-automation ecosystems — Control4, URC, Josh AI — are closed gardens. The result is billions in friction: replaced hardware, lost integration jobs, and device makers locked out of sales. TCL Universal Bridge is the neutral translator that makes any device work with the system a customer already owns. We have a live product bridging URC to the Hi-Fi Rose RS520 and a re-architected N-way core that now spans all three ecosystems.</w:t>
      </w:r>
    </w:p>
    <w:p>
      <w:pPr>
        <w:pStyle w:val="Heading1"/>
      </w:pPr>
      <w:r>
        <w:t xml:space="preserve">Why now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Ecosystem lock-in frustration is at an all-time high as homes accumulate mixed-vendor devices.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 prosumer/DIY smart-home wave makes a $9/month self-serve translator a mass-market product, not just a dealer tool.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We already have the hard part — a working, firmware-resilient bridge — and a re-usable simulator that powers a viral acquisition engine.</w:t>
      </w:r>
    </w:p>
    <w:p>
      <w:pPr>
        <w:pStyle w:val="Heading1"/>
      </w:pPr>
      <w:r>
        <w:t xml:space="preserve">Traction &amp; proof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Shipping product: URC ↔ Hi-Fi Rose, with per-firmware compatibility certificates and a dealer portal.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Universal /v2 translator core built and tested; Control4 added across product and simulator.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Published, public pricing and an existing dealer funnel (pilot/demo) to build on.</w:t>
      </w:r>
    </w:p>
    <w:p>
      <w:pPr>
        <w:pStyle w:val="Heading1"/>
      </w:pPr>
      <w:r>
        <w:t xml:space="preserve">Model &amp; economics</w:t>
      </w:r>
    </w:p>
    <w:p>
      <w:pPr>
        <w:spacing w:after="140" w:line="276"/>
      </w:pPr>
      <w:r>
        <w:t xml:space="preserve">Hybrid land-and-expand: a $9/mo Maker tier for volume on top of Pro ($49/mo), Dealer Toolkit ($199/mo), and Enterprise ($999/mo). ~85% gross margin; LTV:CAC of 9.9x (Maker) to 34x (Enterprise); CAC payback under 10 months across tiers.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72"/>
        <w:gridCol w:w="1500"/>
        <w:gridCol w:w="1500"/>
        <w:gridCol w:w="1500"/>
        <w:gridCol w:w="1488"/>
        <w:gridCol w:w="1500"/>
      </w:tblGrid>
      <w:tr>
        <w:trPr>
          <w:tblHeader/>
        </w:trPr>
        <w:tc>
          <w:tcPr>
            <w:tcW w:type="dxa" w:w="1872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Y1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Y2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Y3</w:t>
            </w:r>
          </w:p>
        </w:tc>
        <w:tc>
          <w:tcPr>
            <w:tcW w:type="dxa" w:w="1488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Y4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Y5</w:t>
            </w:r>
          </w:p>
        </w:tc>
      </w:tr>
      <w:tr>
        <w:trPr>
          <w:tblHeader w:val="false"/>
        </w:trPr>
        <w:tc>
          <w:tcPr>
            <w:tcW w:type="dxa" w:w="1872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Paid units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9,100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42,300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90,800</w:t>
            </w:r>
          </w:p>
        </w:tc>
        <w:tc>
          <w:tcPr>
            <w:tcW w:type="dxa" w:w="1488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140,000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192,200</w:t>
            </w:r>
          </w:p>
        </w:tc>
      </w:tr>
      <w:tr>
        <w:trPr>
          <w:tblHeader w:val="false"/>
        </w:trPr>
        <w:tc>
          <w:tcPr>
            <w:tcW w:type="dxa" w:w="1872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ARR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$1.64M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$7.14M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$15.70M</w:t>
            </w:r>
          </w:p>
        </w:tc>
        <w:tc>
          <w:tcPr>
            <w:tcW w:type="dxa" w:w="1488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$24.49M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$33.90M</w:t>
            </w:r>
          </w:p>
        </w:tc>
      </w:tr>
      <w:tr>
        <w:trPr>
          <w:tblHeader w:val="false"/>
        </w:trPr>
        <w:tc>
          <w:tcPr>
            <w:tcW w:type="dxa" w:w="1872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Revenue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$3.28M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$12.01M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$25.12M</w:t>
            </w:r>
          </w:p>
        </w:tc>
        <w:tc>
          <w:tcPr>
            <w:tcW w:type="dxa" w:w="1488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$35.69M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$47.33M</w:t>
            </w:r>
          </w:p>
        </w:tc>
      </w:tr>
      <w:tr>
        <w:trPr>
          <w:tblHeader w:val="false"/>
        </w:trPr>
        <w:tc>
          <w:tcPr>
            <w:tcW w:type="dxa" w:w="1872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EBITDA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($0.56M)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$3.01M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$10.45M</w:t>
            </w:r>
          </w:p>
        </w:tc>
        <w:tc>
          <w:tcPr>
            <w:tcW w:type="dxa" w:w="1488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$16.53M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$23.73M</w:t>
            </w:r>
          </w:p>
        </w:tc>
      </w:tr>
    </w:tbl>
    <w:p>
      <w:pPr>
        <w:spacing w:after="140" w:line="276"/>
      </w:pPr>
      <w:r>
        <w:t xml:space="preserve">Base case crosses 100,000 paid units in early Year 4; the funded/aggressive case pulls that into Year 3. EBITDA-positive from Year 2.</w:t>
      </w:r>
    </w:p>
    <w:p>
      <w:pPr>
        <w:pStyle w:val="Heading1"/>
      </w:pPr>
      <w:r>
        <w:t xml:space="preserve">Scenarios (Year 5)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800"/>
        <w:gridCol w:w="2580"/>
        <w:gridCol w:w="2580"/>
      </w:tblGrid>
      <w:tr>
        <w:trPr>
          <w:tblHeader/>
        </w:trP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Case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Paid units</w:t>
            </w:r>
          </w:p>
        </w:tc>
        <w:tc>
          <w:tcPr>
            <w:tcW w:type="dxa" w:w="25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ARR</w:t>
            </w:r>
          </w:p>
        </w:tc>
        <w:tc>
          <w:tcPr>
            <w:tcW w:type="dxa" w:w="25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EBITDA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Conservative (−40%)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115,320</w:t>
            </w:r>
          </w:p>
        </w:tc>
        <w:tc>
          <w:tcPr>
            <w:tcW w:type="dxa" w:w="25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$20.34M</w:t>
            </w:r>
          </w:p>
        </w:tc>
        <w:tc>
          <w:tcPr>
            <w:tcW w:type="dxa" w:w="25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$14.24M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Base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192,200</w:t>
            </w:r>
          </w:p>
        </w:tc>
        <w:tc>
          <w:tcPr>
            <w:tcW w:type="dxa" w:w="25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$33.90M</w:t>
            </w:r>
          </w:p>
        </w:tc>
        <w:tc>
          <w:tcPr>
            <w:tcW w:type="dxa" w:w="25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$23.73M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Aggressive (+40%)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269,080</w:t>
            </w:r>
          </w:p>
        </w:tc>
        <w:tc>
          <w:tcPr>
            <w:tcW w:type="dxa" w:w="25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$47.46M</w:t>
            </w:r>
          </w:p>
        </w:tc>
        <w:tc>
          <w:tcPr>
            <w:tcW w:type="dxa" w:w="25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$33.22M</w:t>
            </w:r>
          </w:p>
        </w:tc>
      </w:tr>
    </w:tbl>
    <w:p>
      <w:pPr>
        <w:pStyle w:val="Heading1"/>
      </w:pPr>
      <w:r>
        <w:t xml:space="preserve">The ask &amp; use of funds</w:t>
      </w:r>
    </w:p>
    <w:p>
      <w:pPr>
        <w:spacing w:after="140" w:line="276"/>
      </w:pPr>
      <w:r>
        <w:t xml:space="preserve">Raising $3.5M seed (illustrative; terms by negotiation). The base plan is near-breakeven (peak unfunded cash need under $0.6M); the raise is growth capital to accelerate and de-risk, not to cover losses.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1400"/>
        <w:gridCol w:w="4360"/>
      </w:tblGrid>
      <w:tr>
        <w:trPr>
          <w:tblHeader/>
        </w:trP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Use of funds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Share</w:t>
            </w:r>
          </w:p>
        </w:tc>
        <w:tc>
          <w:tcPr>
            <w:tcW w:type="dxa" w:w="4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1F3B57"/>
                <w:sz w:val="18"/>
                <w:szCs w:val="18"/>
              </w:rPr>
              <w:t xml:space="preserve">Purpose</w:t>
            </w:r>
          </w:p>
        </w:tc>
      </w:tr>
      <w:tr>
        <w:trPr>
          <w:tblHeader w:val="false"/>
        </w:trP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Engineering &amp; certifications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35%</w:t>
            </w:r>
          </w:p>
        </w:tc>
        <w:tc>
          <w:tcPr>
            <w:tcW w:type="dxa" w:w="4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Control4 / Josh / URC adapter certification and partnerships; maintenance.</w:t>
            </w:r>
          </w:p>
        </w:tc>
      </w:tr>
      <w:tr>
        <w:trPr>
          <w:tblHeader w:val="false"/>
        </w:trP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Growth &amp; marketing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35%</w:t>
            </w:r>
          </w:p>
        </w:tc>
        <w:tc>
          <w:tcPr>
            <w:tcW w:type="dxa" w:w="4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Oracle/SEO engine, paid scale, dealer channel, events.</w:t>
            </w:r>
          </w:p>
        </w:tc>
      </w:tr>
      <w:tr>
        <w:trPr>
          <w:tblHeader w:val="false"/>
        </w:trP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Customer success &amp; support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12%</w:t>
            </w:r>
          </w:p>
        </w:tc>
        <w:tc>
          <w:tcPr>
            <w:tcW w:type="dxa" w:w="4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Onboarding, dealer enablement, retention.</w:t>
            </w:r>
          </w:p>
        </w:tc>
      </w:tr>
      <w:tr>
        <w:trPr>
          <w:tblHeader w:val="false"/>
        </w:trP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G&amp;A &amp; legal/IP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10%</w:t>
            </w:r>
          </w:p>
        </w:tc>
        <w:tc>
          <w:tcPr>
            <w:tcW w:type="dxa" w:w="4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6F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Counsel on reverse-engineering posture; finance/admin.</w:t>
            </w:r>
          </w:p>
        </w:tc>
      </w:tr>
      <w:tr>
        <w:trPr>
          <w:tblHeader w:val="false"/>
        </w:trP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Operating buffer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8%</w:t>
            </w:r>
          </w:p>
        </w:tc>
        <w:tc>
          <w:tcPr>
            <w:tcW w:type="dxa" w:w="43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18-month runway cushion.</w:t>
            </w:r>
          </w:p>
        </w:tc>
      </w:tr>
    </w:tbl>
    <w:p>
      <w:pPr>
        <w:spacing w:after="140" w:line="276"/>
      </w:pPr>
      <w:r>
        <w:t xml:space="preserve">Investor return logic: a capital-efficient, ~85%-margin SaaS reaching ~$34M ARR (base) to ~$47M ARR (aggressive) by Year 5, in a category with clear strategic acquirers (the ecosystem vendors, distributors, and smart-home platforms themselves).</w:t>
      </w:r>
    </w:p>
    <w:p>
      <w:pPr>
        <w:pStyle w:val="Heading1"/>
      </w:pPr>
      <w:r>
        <w:t xml:space="preserve">Key risks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Reverse-engineered and partnership-gated integrations carry execution and legal risk.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Vendors could close APIs or ship competing bridges; firmware churn imposes ongoing maintenance cost.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100k target depends on self-serve volume; the dealer channel alone cannot reach it.</w:t>
      </w:r>
    </w:p>
    <w:p>
      <w:pPr>
        <w:spacing w:after="80"/>
      </w:pPr>
      <w:r>
        <w:t xml:space="preserve"/>
      </w:r>
    </w:p>
    <w:p>
      <w:pPr>
        <w:pBdr>
          <w:bottom w:val="single" w:color="2E75B6" w:sz="6" w:space="1"/>
        </w:pBdr>
        <w:spacing w:after="160"/>
      </w:pPr>
      <w:r>
        <w:t xml:space="preserve"/>
      </w:r>
    </w:p>
    <w:p>
      <w:pPr>
        <w:spacing w:after="140" w:line="276"/>
      </w:pPr>
      <w:r>
        <w:rPr>
          <w:b/>
          <w:bCs/>
        </w:rPr>
        <w:t xml:space="preserve">See also: </w:t>
      </w:r>
      <w:r>
        <w:t xml:space="preserve">Business Plan (full SWOT, market, competition), Marketing &amp; GTM Plan (hook, gimmick, channels), and the Financial Model spreadsheet (editable assumptions, projections, charts).</w:t>
      </w:r>
    </w:p>
    <w:p>
      <w:pPr>
        <w:spacing w:after="140" w:line="276"/>
      </w:pPr>
      <w:r>
        <w:rPr>
          <w:b/>
          <w:bCs/>
          <w:color w:val="990000"/>
        </w:rPr>
        <w:t xml:space="preserve">Disclaimer. </w:t>
      </w:r>
      <w:r>
        <w:rPr>
          <w:i/>
          <w:iCs/>
          <w:color w:val="777777"/>
          <w:sz w:val="18"/>
          <w:szCs w:val="18"/>
        </w:rPr>
        <w:t xml:space="preserve">This document is for information and planning only. It is not an offer to sell or a solicitation to buy any security, and it is not investment, legal, tax, or accounting advice. All projections are illustrative, depend on the stated assumptions, and are not a guarantee of future results. Reverse-engineered and partnership-gated integrations carry execution and legal risk; consult qualified professionals before making decisions.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5"/>
        <w:szCs w:val="15"/>
      </w:rPr>
      <w:t xml:space="preserve">TCL Universal Bridge  ·  Confidential  ·  Page </w:t>
    </w:r>
    <w:r>
      <w:rPr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5"/>
        <w:szCs w:val="15"/>
      </w:rPr>
      <w:t xml:space="preserve"> of </w:t>
    </w:r>
    <w:r>
      <w:rPr>
        <w:color w:val="888888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2" w:space="2"/>
      </w:pBdr>
      <w:jc w:val="right"/>
    </w:pPr>
    <w:r>
      <w:rPr>
        <w:color w:val="888888"/>
        <w:sz w:val="15"/>
        <w:szCs w:val="15"/>
      </w:rPr>
      <w:t xml:space="preserve">Investor Prospectus — TCL Universal Bridge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  <w:lvl w:ilvl="1" w15:tentative="1">
      <w:start w:val="1"/>
      <w:numFmt w:val="bullet"/>
      <w:lvlText w:val="◦"/>
      <w:lvlJc w:val="left"/>
      <w:pPr>
        <w:ind w:left="9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9DC3E6" w:sz="4" w:space="4"/>
      </w:pBdr>
      <w:spacing w:after="150" w:before="280"/>
      <w:outlineLvl w:val="0"/>
    </w:pPr>
    <w:rPr>
      <w:rFonts w:ascii="Arial" w:cs="Arial" w:eastAsia="Arial" w:hAnsi="Arial"/>
      <w:b/>
      <w:bCs/>
      <w:color w:val="1F3B57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10" w:before="20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90" w:before="150"/>
      <w:outlineLvl w:val="2"/>
    </w:pPr>
    <w:rPr>
      <w:rFonts w:ascii="Arial" w:cs="Arial" w:eastAsia="Arial" w:hAnsi="Arial"/>
      <w:b/>
      <w:bCs/>
      <w:color w:val="333333"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Investor Prospectus — TCL Universal Bridge</dc:title>
  <dc:creator>TCL Tech</dc:creator>
  <cp:lastModifiedBy>Un-named</cp:lastModifiedBy>
  <cp:revision>1</cp:revision>
  <dcterms:created xsi:type="dcterms:W3CDTF">2026-05-29T11:55:33.312Z</dcterms:created>
  <dcterms:modified xsi:type="dcterms:W3CDTF">2026-05-29T11:55:33.312Z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