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200"/>
      </w:pPr>
      <w:r>
        <w:rPr>
          <w:rFonts w:ascii="Arial" w:cs="Arial" w:eastAsia="Arial" w:hAnsi="Arial"/>
          <w:b/>
          <w:bCs/>
          <w:color w:val="111111"/>
          <w:sz w:val="46"/>
          <w:szCs w:val="46"/>
        </w:rPr>
        <w:t xml:space="preserve">Marketing &amp; Go-To-Market Plan</w:t>
      </w:r>
    </w:p>
    <w:p>
      <w:pPr>
        <w:spacing w:after="30"/>
      </w:pPr>
      <w:r>
        <w:rPr>
          <w:rFonts w:ascii="Arial" w:cs="Arial" w:eastAsia="Arial" w:hAnsi="Arial"/>
          <w:b/>
          <w:bCs/>
          <w:color w:val="2E75B6"/>
          <w:sz w:val="26"/>
          <w:szCs w:val="26"/>
        </w:rPr>
        <w:t xml:space="preserve">TCL Universal Bridge</w:t>
      </w:r>
    </w:p>
    <w:p>
      <w:pPr>
        <w:spacing w:after="160"/>
      </w:pPr>
      <w:r>
        <w:rPr>
          <w:i/>
          <w:iCs/>
          <w:color w:val="555555"/>
          <w:sz w:val="22"/>
          <w:szCs w:val="22"/>
        </w:rPr>
        <w:t xml:space="preserve">The Rosetta Stone for the smart home — Control4 ⇄ URC ⇄ Josh AI</w:t>
      </w:r>
    </w:p>
    <w:p>
      <w:pPr>
        <w:pBdr>
          <w:bottom w:val="single" w:color="2E75B6" w:sz="6" w:space="1"/>
        </w:pBdr>
        <w:spacing w:after="160"/>
      </w:pPr>
      <w:r>
        <w:t xml:space="preserve"/>
      </w:r>
    </w:p>
    <w:p>
      <w:pPr>
        <w:spacing w:after="140" w:line="276"/>
      </w:pPr>
      <w:r>
        <w:rPr>
          <w:b/>
          <w:bCs/>
        </w:rPr>
        <w:t xml:space="preserve">Company: </w:t>
      </w:r>
      <w:r>
        <w:t xml:space="preserve">TCL Tech — TCL Universal Bridge</w:t>
      </w:r>
      <w:r>
        <w:rPr>
          <w:b/>
          <w:bCs/>
        </w:rPr>
        <w:t xml:space="preserve">        Prepared for: </w:t>
      </w:r>
      <w:r>
        <w:t xml:space="preserve">Phil</w:t>
      </w:r>
      <w:r>
        <w:rPr>
          <w:b/>
          <w:bCs/>
        </w:rPr>
        <w:t xml:space="preserve">        Date: </w:t>
      </w:r>
      <w:r>
        <w:t xml:space="preserve">2026-05-29</w:t>
      </w:r>
    </w:p>
    <w:p>
      <w:pPr>
        <w:spacing w:after="80"/>
      </w:pPr>
      <w:r>
        <w:t xml:space="preserve"/>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The one-line strategy</w:t>
      </w:r>
    </w:p>
    <w:p>
      <w:pPr>
        <w:spacing w:after="140" w:line="276"/>
      </w:pPr>
      <w:r>
        <w:t xml:space="preserve">Turn “it’s not compatible” — the single most expensive sentence in the smart-home industry — into a $9/month yes.</w:t>
      </w:r>
    </w:p>
    <w:p>
      <w:pPr>
        <w:spacing w:after="140" w:line="276"/>
      </w:pPr>
      <w:r>
        <w:t xml:space="preserve">Every premium home-automation ecosystem is a walled garden. A homeowner on Control4 cannot use a device that only speaks URC or Josh AI; a Josh AI household cannot drive a Control4-only fixture; integrators walk away from jobs, and homeowners replace perfectly good hardware. The TCL Universal Bridge is the translator that makes any device work with the system the customer already owns. We monetize that with a high-volume self-serve tier on top of the existing dealer business, and we ignite demand with a free, viral tool that hands every visitor a verdict and a reason to share.</w:t>
      </w:r>
    </w:p>
    <w:p>
      <w:pPr>
        <w:pStyle w:val="Heading1"/>
      </w:pPr>
      <w:r>
        <w:t xml:space="preserve">2. Positioning (phased)</w:t>
      </w:r>
    </w:p>
    <w:p>
      <w:pPr>
        <w:spacing w:after="140" w:line="276"/>
      </w:pPr>
      <w:r>
        <w:t xml:space="preserve">We lead with the niche we can already prove and expand the message as each adapter is certified — credibility first, scale second.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930"/>
        <w:gridCol w:w="3930"/>
      </w:tblGrid>
      <w:tr>
        <w:trPr>
          <w:tblHeader/>
        </w:trPr>
        <w:tc>
          <w:tcPr>
            <w:tcW w:type="dxa" w:w="15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Phase</w:t>
            </w:r>
          </w:p>
        </w:tc>
        <w:tc>
          <w:tcPr>
            <w:tcW w:type="dxa" w:w="393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Market message</w:t>
            </w:r>
          </w:p>
        </w:tc>
        <w:tc>
          <w:tcPr>
            <w:tcW w:type="dxa" w:w="393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Proof / status</w:t>
            </w:r>
          </w:p>
        </w:tc>
      </w:tr>
      <w:tr>
        <w:trPr>
          <w:tblHeader w:val="false"/>
        </w:trPr>
        <w:tc>
          <w:tcPr>
            <w:tcW w:type="dxa" w:w="15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Now (0–6 mo)</w:t>
            </w:r>
          </w:p>
        </w:tc>
        <w:tc>
          <w:tcPr>
            <w:tcW w:type="dxa" w:w="393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“We keep your URC + Hi-Fi Rose system working through every firmware change.”</w:t>
            </w:r>
          </w:p>
        </w:tc>
        <w:tc>
          <w:tcPr>
            <w:tcW w:type="dxa" w:w="393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Live, shipping product; firmware-drift maintenance; paying dealers.</w:t>
            </w:r>
          </w:p>
        </w:tc>
      </w:tr>
      <w:tr>
        <w:trPr>
          <w:tblHeader w:val="false"/>
        </w:trPr>
        <w:tc>
          <w:tcPr>
            <w:tcW w:type="dxa" w:w="15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Next (6–18 mo)</w:t>
            </w:r>
          </w:p>
        </w:tc>
        <w:tc>
          <w:tcPr>
            <w:tcW w:type="dxa" w:w="393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“One translator so Control4, URC, and Josh AI finally speak the same language.”</w:t>
            </w:r>
          </w:p>
        </w:tc>
        <w:tc>
          <w:tcPr>
            <w:tcW w:type="dxa" w:w="393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Universal /v2 core shipped; Control4 + Josh adapters certified as partnerships land.</w:t>
            </w:r>
          </w:p>
        </w:tc>
      </w:tr>
      <w:tr>
        <w:trPr>
          <w:tblHeader w:val="false"/>
        </w:trPr>
        <w:tc>
          <w:tcPr>
            <w:tcW w:type="dxa" w:w="15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Later (18 mo+)</w:t>
            </w:r>
          </w:p>
        </w:tc>
        <w:tc>
          <w:tcPr>
            <w:tcW w:type="dxa" w:w="393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“The interoperability layer for the whole smart home.”</w:t>
            </w:r>
          </w:p>
        </w:tc>
        <w:tc>
          <w:tcPr>
            <w:tcW w:type="dxa" w:w="393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Adapter marketplace; ‘Works with TCL Bridge’ badge program.</w:t>
            </w:r>
          </w:p>
        </w:tc>
      </w:tr>
    </w:tbl>
    <w:p>
      <w:pPr>
        <w:spacing w:after="140" w:line="276"/>
      </w:pPr>
      <w:r>
        <w:t xml:space="preserve">Brand line: “The Rosetta Stone for the smart home.” Product name: TCL Universal Bridge (the proven URC↔Rose product is the wedge, not the ceiling).</w:t>
      </w:r>
    </w:p>
    <w:p>
      <w:pPr>
        <w:pStyle w:val="Heading1"/>
      </w:pPr>
      <w:r>
        <w:t xml:space="preserve">3. The Hook</w:t>
      </w:r>
    </w:p>
    <w:p>
      <w:pPr>
        <w:spacing w:after="140" w:line="276"/>
      </w:pPr>
      <w:r>
        <w:rPr>
          <w:b/>
          <w:bCs/>
        </w:rPr>
        <w:t xml:space="preserve">Primary hook: </w:t>
      </w:r>
      <w:r>
        <w:t xml:space="preserve">“Make the device you love work with the system you already own.”</w:t>
      </w:r>
    </w:p>
    <w:p>
      <w:pPr>
        <w:spacing w:after="140" w:line="276"/>
      </w:pPr>
      <w:r>
        <w:t xml:space="preserve">It is concrete, loss-framed, and true for all three audiences. Audience-specific variants:</w:t>
      </w:r>
    </w:p>
    <w:p>
      <w:pPr>
        <w:pStyle w:val="ListParagraph"/>
        <w:numPr>
          <w:ilvl w:val="0"/>
          <w:numId w:val="2"/>
        </w:numPr>
        <w:spacing w:after="60"/>
      </w:pPr>
      <w:r>
        <w:rPr>
          <w:b/>
          <w:bCs/>
        </w:rPr>
        <w:t xml:space="preserve">Homeowner / prosumer: </w:t>
      </w:r>
      <w:r>
        <w:t xml:space="preserve">“Don’t rip it out. Bridge it. Your Control4, URC, and Josh AI gear, finally talking — for $9 a month.”</w:t>
      </w:r>
    </w:p>
    <w:p>
      <w:pPr>
        <w:pStyle w:val="ListParagraph"/>
        <w:numPr>
          <w:ilvl w:val="0"/>
          <w:numId w:val="2"/>
        </w:numPr>
        <w:spacing w:after="60"/>
      </w:pPr>
      <w:r>
        <w:rPr>
          <w:b/>
          <w:bCs/>
        </w:rPr>
        <w:t xml:space="preserve">Custom integrator / dealer: </w:t>
      </w:r>
      <w:r>
        <w:t xml:space="preserve">“Stop losing jobs to ‘those two systems don’t talk.’ Close them with one driver.”</w:t>
      </w:r>
    </w:p>
    <w:p>
      <w:pPr>
        <w:pStyle w:val="ListParagraph"/>
        <w:numPr>
          <w:ilvl w:val="0"/>
          <w:numId w:val="2"/>
        </w:numPr>
        <w:spacing w:after="60"/>
      </w:pPr>
      <w:r>
        <w:rPr>
          <w:b/>
          <w:bCs/>
        </w:rPr>
        <w:t xml:space="preserve">Hospitality / MDU: </w:t>
      </w:r>
      <w:r>
        <w:t xml:space="preserve">“Mix the best of every ecosystem across hundreds of rooms, controlled as one.”</w:t>
      </w:r>
    </w:p>
    <w:p>
      <w:pPr>
        <w:pStyle w:val="Heading1"/>
      </w:pPr>
      <w:r>
        <w:t xml:space="preserve">4. The Gimmick — the Compatibility Oracle</w:t>
      </w:r>
    </w:p>
    <w:p>
      <w:pPr>
        <w:spacing w:after="140" w:line="276"/>
      </w:pPr>
      <w:r>
        <w:t xml:space="preserve">A free, instant web tool and the centerpiece of the entire funnel. The visitor selects the system they own and the device they want to add. The Oracle returns an immediate verdict and a shareable, dated certificate: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BBBB" w:sz="1"/>
              <w:left w:val="single" w:color="BBBBBB" w:sz="1"/>
              <w:bottom w:val="single" w:color="BBBBBB" w:sz="1"/>
              <w:right w:val="single" w:color="BBBBBB" w:sz="1"/>
            </w:tcBorders>
            <w:shd w:fill="F3F3F3" w:val="clear"/>
            <w:tcMar>
              <w:top w:type="dxa" w:w="120"/>
              <w:left w:type="dxa" w:w="160"/>
              <w:bottom w:type="dxa" w:w="120"/>
              <w:right w:type="dxa" w:w="160"/>
            </w:tcMar>
          </w:tcPr>
          <w:p>
            <w:pPr>
              <w:spacing w:after="0" w:line="240"/>
            </w:pPr>
            <w:r>
              <w:rPr>
                <w:rFonts w:ascii="Consolas" w:cs="Consolas" w:eastAsia="Consolas" w:hAnsi="Consolas"/>
                <w:sz w:val="18"/>
                <w:szCs w:val="18"/>
              </w:rPr>
              <w:t xml:space="preserve">  Your system:  [ Control4 ]        Add device:  [ Hi-Fi Rose RS520 ]</w:t>
            </w:r>
          </w:p>
          <w:p>
            <w:pPr>
              <w:spacing w:after="0" w:line="240"/>
            </w:pPr>
            <w:r>
              <w:rPr>
                <w:rFonts w:ascii="Consolas" w:cs="Consolas" w:eastAsia="Consolas" w:hAnsi="Consolas"/>
                <w:sz w:val="18"/>
                <w:szCs w:val="18"/>
              </w:rPr>
              <w:t xml:space="preserve">  ──────────────────────────────────────────────────────────────────</w:t>
            </w:r>
          </w:p>
          <w:p>
            <w:pPr>
              <w:spacing w:after="0" w:line="240"/>
            </w:pPr>
            <w:r>
              <w:rPr>
                <w:rFonts w:ascii="Consolas" w:cs="Consolas" w:eastAsia="Consolas" w:hAnsi="Consolas"/>
                <w:sz w:val="18"/>
                <w:szCs w:val="18"/>
              </w:rPr>
              <w:t xml:space="preserve">    VERDICT:   ✓  WORKS WITH THE BRIDGE</w:t>
            </w:r>
          </w:p>
          <w:p>
            <w:pPr>
              <w:spacing w:after="0" w:line="240"/>
            </w:pPr>
            <w:r>
              <w:rPr>
                <w:rFonts w:ascii="Consolas" w:cs="Consolas" w:eastAsia="Consolas" w:hAnsi="Consolas"/>
                <w:sz w:val="18"/>
                <w:szCs w:val="18"/>
              </w:rPr>
              <w:t xml:space="preserve">    Control4 can control this device today via TCL Universal Bridge.</w:t>
            </w:r>
          </w:p>
          <w:p>
            <w:pPr>
              <w:spacing w:after="0" w:line="240"/>
            </w:pPr>
            <w:r>
              <w:rPr>
                <w:rFonts w:ascii="Consolas" w:cs="Consolas" w:eastAsia="Consolas" w:hAnsi="Consolas"/>
                <w:sz w:val="18"/>
                <w:szCs w:val="18"/>
              </w:rPr>
              <w:t xml:space="preserve">    [ Get your Compatibility Certificate ]   [ Start free ]</w:t>
            </w:r>
          </w:p>
        </w:tc>
      </w:tr>
    </w:tbl>
    <w:p>
      <w:pPr>
        <w:spacing w:after="140" w:line="276"/>
      </w:pPr>
      <w:r>
        <w:t xml:space="preserve">Why it works: it is genuinely useful (answers a question people Google constantly), it is shareable (every certificate is social proof and a backlink), and it is a programmatic-SEO engine — one indexed page for every ‘&lt;system&gt; + &lt;device&gt;’ pair, capturing high-intent search. It reuses assets we already have: the device simulator and the per-firmware compatibility-certificate concept. Verdicts are Works / Works-with-Bridge / Not-yet-supported (the last captures demand and feeds the roadmap).</w:t>
      </w:r>
    </w:p>
    <w:p>
      <w:pPr>
        <w:spacing w:after="140" w:line="276"/>
      </w:pPr>
      <w:r>
        <w:rPr>
          <w:b/>
          <w:bCs/>
        </w:rPr>
        <w:t xml:space="preserve">Supporting gimmicks: </w:t>
      </w:r>
      <w:r>
        <w:t xml:space="preserve">“Firmware-Drift Insurance” (reframes maintenance revenue as protection homeowners and dealers want) and the launch-moment “100 Days to 100k Challenge” with a public live counter.</w:t>
      </w:r>
    </w:p>
    <w:p>
      <w:pPr>
        <w:pStyle w:val="Heading1"/>
      </w:pPr>
      <w:r>
        <w:t xml:space="preserve">5. The growth model — hybrid land-and-expand</w:t>
      </w:r>
    </w:p>
    <w:p>
      <w:pPr>
        <w:spacing w:after="140" w:line="276"/>
      </w:pPr>
      <w:r>
        <w:t xml:space="preserve">The custom-install channel is only ~10,000 firms; 100,000 dealers is impossible. Volume therefore must come from end users. We run three motions on one product and one billing platform: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500"/>
        <w:gridCol w:w="2200"/>
        <w:gridCol w:w="3960"/>
      </w:tblGrid>
      <w:tr>
        <w:trPr>
          <w:tblHeader/>
        </w:trPr>
        <w:tc>
          <w:tcPr>
            <w:tcW w:type="dxa" w:w="17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Tier</w:t>
            </w:r>
          </w:p>
        </w:tc>
        <w:tc>
          <w:tcPr>
            <w:tcW w:type="dxa" w:w="15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Price</w:t>
            </w:r>
          </w:p>
        </w:tc>
        <w:tc>
          <w:tcPr>
            <w:tcW w:type="dxa" w:w="2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Buyer</w:t>
            </w:r>
          </w:p>
        </w:tc>
        <w:tc>
          <w:tcPr>
            <w:tcW w:type="dxa" w:w="396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Role in the model</w:t>
            </w:r>
          </w:p>
        </w:tc>
      </w:tr>
      <w:tr>
        <w:trPr>
          <w:tblHeader w:val="false"/>
        </w:trPr>
        <w:tc>
          <w:tcPr>
            <w:tcW w:type="dxa" w:w="17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Maker (DIY)</w:t>
            </w:r>
          </w:p>
        </w:tc>
        <w:tc>
          <w:tcPr>
            <w:tcW w:type="dxa" w:w="15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$9/mo</w:t>
            </w:r>
          </w:p>
        </w:tc>
        <w:tc>
          <w:tcPr>
            <w:tcW w:type="dxa" w:w="2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Prosumers, enthusiasts, single-system homeowners adding a ‘trapped’ device</w:t>
            </w:r>
          </w:p>
        </w:tc>
        <w:tc>
          <w:tcPr>
            <w:tcW w:type="dxa" w:w="396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Volume engine — the bulk of the 100k</w:t>
            </w:r>
          </w:p>
        </w:tc>
      </w:tr>
      <w:tr>
        <w:trPr>
          <w:tblHeader w:val="false"/>
        </w:trPr>
        <w:tc>
          <w:tcPr>
            <w:tcW w:type="dxa" w:w="17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Pro / Single-Site</w:t>
            </w:r>
          </w:p>
        </w:tc>
        <w:tc>
          <w:tcPr>
            <w:tcW w:type="dxa" w:w="15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$49/mo + $1,995</w:t>
            </w:r>
          </w:p>
        </w:tc>
        <w:tc>
          <w:tcPr>
            <w:tcW w:type="dxa" w:w="22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Advanced homeowners, small jobs</w:t>
            </w:r>
          </w:p>
        </w:tc>
        <w:tc>
          <w:tcPr>
            <w:tcW w:type="dxa" w:w="396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Mid-market, dealer-assisted</w:t>
            </w:r>
          </w:p>
        </w:tc>
      </w:tr>
      <w:tr>
        <w:trPr>
          <w:tblHeader w:val="false"/>
        </w:trPr>
        <w:tc>
          <w:tcPr>
            <w:tcW w:type="dxa" w:w="17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Dealer Toolkit</w:t>
            </w:r>
          </w:p>
        </w:tc>
        <w:tc>
          <w:tcPr>
            <w:tcW w:type="dxa" w:w="15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$199/mo + $4,995</w:t>
            </w:r>
          </w:p>
        </w:tc>
        <w:tc>
          <w:tcPr>
            <w:tcW w:type="dxa" w:w="2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Custom integrators (≤10 deployments)</w:t>
            </w:r>
          </w:p>
        </w:tc>
        <w:tc>
          <w:tcPr>
            <w:tcW w:type="dxa" w:w="396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Channel multiplier + retention</w:t>
            </w:r>
          </w:p>
        </w:tc>
      </w:tr>
      <w:tr>
        <w:trPr>
          <w:tblHeader w:val="false"/>
        </w:trPr>
        <w:tc>
          <w:tcPr>
            <w:tcW w:type="dxa" w:w="17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Enterprise / Hospitality</w:t>
            </w:r>
          </w:p>
        </w:tc>
        <w:tc>
          <w:tcPr>
            <w:tcW w:type="dxa" w:w="15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$999/mo + $14,995</w:t>
            </w:r>
          </w:p>
        </w:tc>
        <w:tc>
          <w:tcPr>
            <w:tcW w:type="dxa" w:w="22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MDU, hotels, commercial</w:t>
            </w:r>
          </w:p>
        </w:tc>
        <w:tc>
          <w:tcPr>
            <w:tcW w:type="dxa" w:w="396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High-ACV anchor accounts</w:t>
            </w:r>
          </w:p>
        </w:tc>
      </w:tr>
    </w:tbl>
    <w:p>
      <w:pPr>
        <w:spacing w:after="140" w:line="276"/>
      </w:pPr>
      <w:r>
        <w:t xml:space="preserve">Land with the free Oracle and the $9 Maker tier (product-led, self-serve, instant value); expand into Pro as needs grow, into the Dealer Toolkit as integrators standardize on us, and into Enterprise for multi-unit properties. The same bridge serves all four.</w:t>
      </w:r>
    </w:p>
    <w:p>
      <w:pPr>
        <w:pStyle w:val="Heading1"/>
      </w:pPr>
      <w:r>
        <w:t xml:space="preserve">6. Channels &amp; growth loops</w:t>
      </w:r>
    </w:p>
    <w:p>
      <w:pPr>
        <w:pStyle w:val="ListParagraph"/>
        <w:numPr>
          <w:ilvl w:val="0"/>
          <w:numId w:val="2"/>
        </w:numPr>
        <w:spacing w:after="60"/>
      </w:pPr>
      <w:r>
        <w:rPr>
          <w:b/>
          <w:bCs/>
        </w:rPr>
        <w:t xml:space="preserve">Programmatic SEO: </w:t>
      </w:r>
      <w:r>
        <w:t xml:space="preserve">a Compatibility Oracle page per ‘system × device’ pair captures the exact searches buyers already make. The flywheel: search → verdict → email → trial → paid → shared certificate → more backlinks.</w:t>
      </w:r>
    </w:p>
    <w:p>
      <w:pPr>
        <w:pStyle w:val="ListParagraph"/>
        <w:numPr>
          <w:ilvl w:val="0"/>
          <w:numId w:val="2"/>
        </w:numPr>
        <w:spacing w:after="60"/>
      </w:pPr>
      <w:r>
        <w:rPr>
          <w:b/>
          <w:bCs/>
        </w:rPr>
        <w:t xml:space="preserve">Communities: </w:t>
      </w:r>
      <w:r>
        <w:t xml:space="preserve">AVS Forum, r/homeautomation, r/Control4, Home Assistant forums, Hi-Fi/Roon communities — where ‘will X work with Y’ is asked daily.</w:t>
      </w:r>
    </w:p>
    <w:p>
      <w:pPr>
        <w:pStyle w:val="ListParagraph"/>
        <w:numPr>
          <w:ilvl w:val="0"/>
          <w:numId w:val="2"/>
        </w:numPr>
        <w:spacing w:after="60"/>
      </w:pPr>
      <w:r>
        <w:rPr>
          <w:b/>
          <w:bCs/>
        </w:rPr>
        <w:t xml:space="preserve">Creators: </w:t>
      </w:r>
      <w:r>
        <w:t xml:space="preserve">integrator and smart-home YouTube channels; sponsored ‘trapped device’ rescue demos.</w:t>
      </w:r>
    </w:p>
    <w:p>
      <w:pPr>
        <w:pStyle w:val="ListParagraph"/>
        <w:numPr>
          <w:ilvl w:val="0"/>
          <w:numId w:val="2"/>
        </w:numPr>
        <w:spacing w:after="60"/>
      </w:pPr>
      <w:r>
        <w:rPr>
          <w:b/>
          <w:bCs/>
        </w:rPr>
        <w:t xml:space="preserve">Trade / channel: </w:t>
      </w:r>
      <w:r>
        <w:t xml:space="preserve">CEDIA Expo, CE Pro / Residential Systems press, distributor and dealer-association relationships; the Stereophile/audiophile angle for the Hi-Fi Rose wedge.</w:t>
      </w:r>
    </w:p>
    <w:p>
      <w:pPr>
        <w:pStyle w:val="ListParagraph"/>
        <w:numPr>
          <w:ilvl w:val="0"/>
          <w:numId w:val="2"/>
        </w:numPr>
        <w:spacing w:after="60"/>
      </w:pPr>
      <w:r>
        <w:rPr>
          <w:b/>
          <w:bCs/>
        </w:rPr>
        <w:t xml:space="preserve">Partnerships: </w:t>
      </w:r>
      <w:r>
        <w:t xml:space="preserve">co-marketing with device makers whose gear is ‘trapped,’ plus a ‘Works with TCL Bridge’ badge they display.</w:t>
      </w:r>
    </w:p>
    <w:p>
      <w:pPr>
        <w:pStyle w:val="ListParagraph"/>
        <w:numPr>
          <w:ilvl w:val="0"/>
          <w:numId w:val="2"/>
        </w:numPr>
        <w:spacing w:after="60"/>
      </w:pPr>
      <w:r>
        <w:rPr>
          <w:b/>
          <w:bCs/>
        </w:rPr>
        <w:t xml:space="preserve">Referral loops: </w:t>
      </w:r>
      <w:r>
        <w:t xml:space="preserve">dealer and Maker referral incentives; certificate sharing as built-in word-of-mouth.</w:t>
      </w:r>
    </w:p>
    <w:p>
      <w:pPr>
        <w:pStyle w:val="Heading1"/>
      </w:pPr>
      <w:r>
        <w:t xml:space="preserve">7. Promotional strategy &amp; launch</w:t>
      </w:r>
    </w:p>
    <w:p>
      <w:pPr>
        <w:spacing w:after="140" w:line="276"/>
      </w:pPr>
      <w:r>
        <w:t xml:space="preserve">A 100-day launch sprint designed to manufacture momentum and a public number to rally around.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930"/>
        <w:gridCol w:w="3930"/>
      </w:tblGrid>
      <w:tr>
        <w:trPr>
          <w:tblHeader/>
        </w:trPr>
        <w:tc>
          <w:tcPr>
            <w:tcW w:type="dxa" w:w="15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Quarter</w:t>
            </w:r>
          </w:p>
        </w:tc>
        <w:tc>
          <w:tcPr>
            <w:tcW w:type="dxa" w:w="393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Promotional focus</w:t>
            </w:r>
          </w:p>
        </w:tc>
        <w:tc>
          <w:tcPr>
            <w:tcW w:type="dxa" w:w="393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Goal</w:t>
            </w:r>
          </w:p>
        </w:tc>
      </w:tr>
      <w:tr>
        <w:trPr>
          <w:tblHeader w:val="false"/>
        </w:trPr>
        <w:tc>
          <w:tcPr>
            <w:tcW w:type="dxa" w:w="15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Q1 — Ignite</w:t>
            </w:r>
          </w:p>
        </w:tc>
        <w:tc>
          <w:tcPr>
            <w:tcW w:type="dxa" w:w="393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Oracle launch + ‘100 Days to 100k’ + founders’ lifetime deal for first Maker cohort (AppSumo-style); CE Pro PR.</w:t>
            </w:r>
          </w:p>
        </w:tc>
        <w:tc>
          <w:tcPr>
            <w:tcW w:type="dxa" w:w="393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Top-of-funnel + first 7k Maker subs</w:t>
            </w:r>
          </w:p>
        </w:tc>
      </w:tr>
      <w:tr>
        <w:trPr>
          <w:tblHeader w:val="false"/>
        </w:trPr>
        <w:tc>
          <w:tcPr>
            <w:tcW w:type="dxa" w:w="15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Q2 — Channel</w:t>
            </w:r>
          </w:p>
        </w:tc>
        <w:tc>
          <w:tcPr>
            <w:tcW w:type="dxa" w:w="393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CEDIA presence, dealer webinars, white-label Dealer Toolkit push, creator sponsorships.</w:t>
            </w:r>
          </w:p>
        </w:tc>
        <w:tc>
          <w:tcPr>
            <w:tcW w:type="dxa" w:w="393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Dealer accounts + Pro ramp</w:t>
            </w:r>
          </w:p>
        </w:tc>
      </w:tr>
      <w:tr>
        <w:trPr>
          <w:tblHeader w:val="false"/>
        </w:trPr>
        <w:tc>
          <w:tcPr>
            <w:tcW w:type="dxa" w:w="15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Q3 — Partnerships</w:t>
            </w:r>
          </w:p>
        </w:tc>
        <w:tc>
          <w:tcPr>
            <w:tcW w:type="dxa" w:w="393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‘Works with’ badge program with device makers; co-marketed compatibility pages.</w:t>
            </w:r>
          </w:p>
        </w:tc>
        <w:tc>
          <w:tcPr>
            <w:tcW w:type="dxa" w:w="393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Backlinks + qualified demand</w:t>
            </w:r>
          </w:p>
        </w:tc>
      </w:tr>
      <w:tr>
        <w:trPr>
          <w:tblHeader w:val="false"/>
        </w:trPr>
        <w:tc>
          <w:tcPr>
            <w:tcW w:type="dxa" w:w="15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Q4 — Scale paid</w:t>
            </w:r>
          </w:p>
        </w:tc>
        <w:tc>
          <w:tcPr>
            <w:tcW w:type="dxa" w:w="393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Search/YouTube spend on high-intent pairs; retargeting from Oracle; lifecycle email.</w:t>
            </w:r>
          </w:p>
        </w:tc>
        <w:tc>
          <w:tcPr>
            <w:tcW w:type="dxa" w:w="393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CAC-efficient paid scale</w:t>
            </w:r>
          </w:p>
        </w:tc>
      </w:tr>
    </w:tbl>
    <w:p>
      <w:pPr>
        <w:spacing w:after="140" w:line="276"/>
      </w:pPr>
      <w:r>
        <w:t xml:space="preserve">Paid media is intent-led: bid on ‘&lt;system&gt; + &lt;device&gt; compatibility,’ run pre-roll on integrator channels, sponsor the forums where the question is asked, and retarget every Oracle visitor who did not convert. Lifecycle email runs from Oracle email-capture → trial nudge → paid → expansion.</w:t>
      </w:r>
    </w:p>
    <w:p>
      <w:pPr>
        <w:pStyle w:val="Heading1"/>
      </w:pPr>
      <w:r>
        <w:t xml:space="preserve">8. The path to 100,000</w:t>
      </w:r>
    </w:p>
    <w:p>
      <w:pPr>
        <w:spacing w:after="140" w:line="276"/>
      </w:pPr>
      <w:r>
        <w:t xml:space="preserve">Base case crosses 100,000 paid units in early Year 4 (~month 38); the funded/aggressive case pulls this into Year 3. The Oracle funnel alone contributes the new-paid volume below, compounding with retention and the dealer/enterprise motions.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200"/>
        <w:gridCol w:w="1200"/>
        <w:gridCol w:w="1200"/>
        <w:gridCol w:w="1200"/>
        <w:gridCol w:w="1200"/>
      </w:tblGrid>
      <w:tr>
        <w:trPr>
          <w:tblHeader/>
        </w:trPr>
        <w:tc>
          <w:tcPr>
            <w:tcW w:type="dxa" w:w="336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Funnel (per year)</w:t>
            </w:r>
          </w:p>
        </w:tc>
        <w:tc>
          <w:tcPr>
            <w:tcW w:type="dxa" w:w="1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Y1</w:t>
            </w:r>
          </w:p>
        </w:tc>
        <w:tc>
          <w:tcPr>
            <w:tcW w:type="dxa" w:w="1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Y2</w:t>
            </w:r>
          </w:p>
        </w:tc>
        <w:tc>
          <w:tcPr>
            <w:tcW w:type="dxa" w:w="1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Y3</w:t>
            </w:r>
          </w:p>
        </w:tc>
        <w:tc>
          <w:tcPr>
            <w:tcW w:type="dxa" w:w="1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Y4</w:t>
            </w:r>
          </w:p>
        </w:tc>
        <w:tc>
          <w:tcPr>
            <w:tcW w:type="dxa" w:w="1200"/>
            <w:tcBorders>
              <w:top w:val="single" w:color="BBBBBB" w:sz="1"/>
              <w:left w:val="single" w:color="BBBBBB" w:sz="1"/>
              <w:bottom w:val="single" w:color="BBBBBB" w:sz="1"/>
              <w:right w:val="single" w:color="BBBBBB" w:sz="1"/>
            </w:tcBorders>
            <w:shd w:fill="D5E8F0" w:val="clear"/>
            <w:tcMar>
              <w:top w:type="dxa" w:w="60"/>
              <w:left w:type="dxa" w:w="100"/>
              <w:bottom w:type="dxa" w:w="60"/>
              <w:right w:type="dxa" w:w="100"/>
            </w:tcMar>
          </w:tcPr>
          <w:p>
            <w:r>
              <w:rPr>
                <w:b/>
                <w:bCs/>
                <w:color w:val="1F3B57"/>
                <w:sz w:val="18"/>
                <w:szCs w:val="18"/>
              </w:rPr>
              <w:t xml:space="preserve">Y5</w:t>
            </w:r>
          </w:p>
        </w:tc>
      </w:tr>
      <w:tr>
        <w:trPr>
          <w:tblHeader w:val="false"/>
        </w:trPr>
        <w:tc>
          <w:tcPr>
            <w:tcW w:type="dxa" w:w="336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Free Oracle checks</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180k</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600k</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1.2M</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1.9M</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2.6M</w:t>
            </w:r>
          </w:p>
        </w:tc>
      </w:tr>
      <w:tr>
        <w:trPr>
          <w:tblHeader w:val="false"/>
        </w:trPr>
        <w:tc>
          <w:tcPr>
            <w:tcW w:type="dxa" w:w="336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New paid (Maker) from Oracle</w:t>
            </w:r>
          </w:p>
        </w:tc>
        <w:tc>
          <w:tcPr>
            <w:tcW w:type="dxa" w:w="12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2,268</w:t>
            </w:r>
          </w:p>
        </w:tc>
        <w:tc>
          <w:tcPr>
            <w:tcW w:type="dxa" w:w="12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7,560</w:t>
            </w:r>
          </w:p>
        </w:tc>
        <w:tc>
          <w:tcPr>
            <w:tcW w:type="dxa" w:w="12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15,120</w:t>
            </w:r>
          </w:p>
        </w:tc>
        <w:tc>
          <w:tcPr>
            <w:tcW w:type="dxa" w:w="12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23,940</w:t>
            </w:r>
          </w:p>
        </w:tc>
        <w:tc>
          <w:tcPr>
            <w:tcW w:type="dxa" w:w="1200"/>
            <w:tcBorders>
              <w:top w:val="single" w:color="BBBBBB" w:sz="1"/>
              <w:left w:val="single" w:color="BBBBBB" w:sz="1"/>
              <w:bottom w:val="single" w:color="BBBBBB" w:sz="1"/>
              <w:right w:val="single" w:color="BBBBBB" w:sz="1"/>
            </w:tcBorders>
            <w:shd w:fill="F2F6FA" w:val="clear"/>
            <w:tcMar>
              <w:top w:type="dxa" w:w="60"/>
              <w:left w:type="dxa" w:w="100"/>
              <w:bottom w:type="dxa" w:w="60"/>
              <w:right w:type="dxa" w:w="100"/>
            </w:tcMar>
          </w:tcPr>
          <w:p>
            <w:r>
              <w:rPr>
                <w:b w:val="false"/>
                <w:bCs w:val="false"/>
                <w:sz w:val="18"/>
                <w:szCs w:val="18"/>
              </w:rPr>
              <w:t xml:space="preserve">32,760</w:t>
            </w:r>
          </w:p>
        </w:tc>
      </w:tr>
      <w:tr>
        <w:trPr>
          <w:tblHeader w:val="false"/>
        </w:trPr>
        <w:tc>
          <w:tcPr>
            <w:tcW w:type="dxa" w:w="336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Paid units</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9,100</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42,300</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90,800</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140,000</w:t>
            </w:r>
          </w:p>
        </w:tc>
        <w:tc>
          <w:tcPr>
            <w:tcW w:type="dxa" w:w="1200"/>
            <w:tcBorders>
              <w:top w:val="single" w:color="BBBBBB" w:sz="1"/>
              <w:left w:val="single" w:color="BBBBBB" w:sz="1"/>
              <w:bottom w:val="single" w:color="BBBBBB" w:sz="1"/>
              <w:right w:val="single" w:color="BBBBBB" w:sz="1"/>
            </w:tcBorders>
            <w:shd w:fill="FFFFFF" w:val="clear"/>
            <w:tcMar>
              <w:top w:type="dxa" w:w="60"/>
              <w:left w:type="dxa" w:w="100"/>
              <w:bottom w:type="dxa" w:w="60"/>
              <w:right w:type="dxa" w:w="100"/>
            </w:tcMar>
          </w:tcPr>
          <w:p>
            <w:r>
              <w:rPr>
                <w:b w:val="false"/>
                <w:bCs w:val="false"/>
                <w:sz w:val="18"/>
                <w:szCs w:val="18"/>
              </w:rPr>
              <w:t xml:space="preserve">192,200</w:t>
            </w:r>
          </w:p>
        </w:tc>
      </w:tr>
    </w:tbl>
    <w:p>
      <w:pPr>
        <w:spacing w:after="140" w:line="276"/>
      </w:pPr>
      <w:r>
        <w:t xml:space="preserve">Conversion assumptions: 35% of checks leave an email, 12% of those start a trial, 30% of trials convert — each adjustable in the financial model. Reaching 100k is a function of top-of-funnel volume (Oracle + SEO + communities) and retention, both of which the gimmick and the firmware-drift value directly drive.</w:t>
      </w:r>
    </w:p>
    <w:p>
      <w:pPr>
        <w:pStyle w:val="Heading1"/>
      </w:pPr>
      <w:r>
        <w:t xml:space="preserve">9. KPIs</w:t>
      </w:r>
    </w:p>
    <w:p>
      <w:pPr>
        <w:pStyle w:val="ListParagraph"/>
        <w:numPr>
          <w:ilvl w:val="0"/>
          <w:numId w:val="2"/>
        </w:numPr>
        <w:spacing w:after="60"/>
      </w:pPr>
      <w:r>
        <w:t xml:space="preserve">Acquisition: Oracle checks/mo, check→email rate, email→trial rate, trial→paid rate, blended CAC by channel.</w:t>
      </w:r>
    </w:p>
    <w:p>
      <w:pPr>
        <w:pStyle w:val="ListParagraph"/>
        <w:numPr>
          <w:ilvl w:val="0"/>
          <w:numId w:val="2"/>
        </w:numPr>
        <w:spacing w:after="60"/>
      </w:pPr>
      <w:r>
        <w:t xml:space="preserve">Revenue: paid units, ARR, ARPU, % recurring vs one-time setup.</w:t>
      </w:r>
    </w:p>
    <w:p>
      <w:pPr>
        <w:pStyle w:val="ListParagraph"/>
        <w:numPr>
          <w:ilvl w:val="0"/>
          <w:numId w:val="2"/>
        </w:numPr>
        <w:spacing w:after="60"/>
      </w:pPr>
      <w:r>
        <w:t xml:space="preserve">Retention/expansion: logo churn by tier, net revenue retention, Maker→Pro upgrade rate, dealer seat expansion.</w:t>
      </w:r>
    </w:p>
    <w:p>
      <w:pPr>
        <w:pStyle w:val="ListParagraph"/>
        <w:numPr>
          <w:ilvl w:val="0"/>
          <w:numId w:val="2"/>
        </w:numPr>
        <w:spacing w:after="60"/>
      </w:pPr>
      <w:r>
        <w:t xml:space="preserve">Efficiency: LTV:CAC by tier (target ≥ 3x; modeled 9.9x–34x), CAC payback (target &lt; 12 mo; modeled 4.8–9.6 mo).</w:t>
      </w:r>
    </w:p>
    <w:p>
      <w:pPr>
        <w:spacing w:after="80"/>
      </w:pPr>
      <w:r>
        <w:t xml:space="preserve"/>
      </w:r>
    </w:p>
    <w:p>
      <w:pPr>
        <w:pBdr>
          <w:bottom w:val="single" w:color="2E75B6" w:sz="6" w:space="1"/>
        </w:pBdr>
        <w:spacing w:after="160"/>
      </w:pPr>
      <w:r>
        <w:t xml:space="preserve"/>
      </w:r>
    </w:p>
    <w:p>
      <w:pPr>
        <w:spacing w:after="140" w:line="276"/>
      </w:pPr>
      <w:r>
        <w:rPr>
          <w:b/>
          <w:bCs/>
          <w:color w:val="990000"/>
        </w:rPr>
        <w:t xml:space="preserve">Disclaimer. </w:t>
      </w:r>
      <w:r>
        <w:rPr>
          <w:i/>
          <w:iCs/>
          <w:color w:val="777777"/>
          <w:sz w:val="18"/>
          <w:szCs w:val="18"/>
        </w:rPr>
        <w:t xml:space="preserve">This document is for information and planning only. It is not an offer to sell or a solicitation to buy any security, and it is not investment, legal, tax, or accounting advice. All projections are illustrative, depend on the stated assumptions, and are not a guarantee of future results. Reverse-engineered and partnership-gated integrations carry execution and legal risk; consult qualified professionals before making decisions.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5"/>
        <w:szCs w:val="15"/>
      </w:rPr>
      <w:t xml:space="preserve">TCL Universal Bridge  ·  Confidential  ·  Page </w:t>
    </w:r>
    <w:r>
      <w:rPr>
        <w:color w:val="888888"/>
        <w:sz w:val="15"/>
        <w:szCs w:val="15"/>
      </w:rPr>
      <w:fldChar w:fldCharType="begin"/>
      <w:instrText xml:space="preserve">PAGE</w:instrText>
      <w:fldChar w:fldCharType="separate"/>
      <w:fldChar w:fldCharType="end"/>
    </w:r>
    <w:r>
      <w:rPr>
        <w:color w:val="888888"/>
        <w:sz w:val="15"/>
        <w:szCs w:val="15"/>
      </w:rPr>
      <w:t xml:space="preserve"> of </w:t>
    </w:r>
    <w:r>
      <w:rPr>
        <w:color w:val="88888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2" w:space="2"/>
      </w:pBdr>
      <w:jc w:val="right"/>
    </w:pPr>
    <w:r>
      <w:rPr>
        <w:color w:val="888888"/>
        <w:sz w:val="15"/>
        <w:szCs w:val="15"/>
      </w:rPr>
      <w:t xml:space="preserve">Marketing &amp; GTM Plan — TCL Universal Bridge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lvl w:ilvl="1" w15:tentative="1">
      <w:start w:val="1"/>
      <w:numFmt w:val="bullet"/>
      <w:lvlText w:val="◦"/>
      <w:lvlJc w:val="left"/>
      <w:pPr>
        <w:ind w:left="920" w:hanging="260"/>
      </w:pPr>
    </w:lvl>
  </w:abstractNum>
  <w:abstractNum w:abstractNumId="3" w15:restartNumberingAfterBreak="0">
    <w:multiLevelType w:val="hybridMultilevel"/>
    <w:lvl w:ilvl="0" w15:tentative="1">
      <w:start w:val="1"/>
      <w:numFmt w:val="decimal"/>
      <w:lvlText w:val="%1."/>
      <w:lvlJc w:val="left"/>
      <w:pPr>
        <w:ind w:left="4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9DC3E6" w:sz="4" w:space="4"/>
      </w:pBdr>
      <w:spacing w:after="150" w:before="280"/>
      <w:outlineLvl w:val="0"/>
    </w:pPr>
    <w:rPr>
      <w:rFonts w:ascii="Arial" w:cs="Arial" w:eastAsia="Arial" w:hAnsi="Arial"/>
      <w:b/>
      <w:bCs/>
      <w:color w:val="1F3B57"/>
      <w:sz w:val="30"/>
      <w:szCs w:val="30"/>
    </w:rPr>
  </w:style>
  <w:style w:type="paragraph" w:styleId="Heading2">
    <w:name w:val="Heading 2"/>
    <w:basedOn w:val="Normal"/>
    <w:next w:val="Normal"/>
    <w:qFormat/>
    <w:pPr>
      <w:spacing w:after="110" w:before="200"/>
      <w:outlineLvl w:val="1"/>
    </w:pPr>
    <w:rPr>
      <w:rFonts w:ascii="Arial" w:cs="Arial" w:eastAsia="Arial" w:hAnsi="Arial"/>
      <w:b/>
      <w:bCs/>
      <w:color w:val="2E75B6"/>
      <w:sz w:val="24"/>
      <w:szCs w:val="24"/>
    </w:rPr>
  </w:style>
  <w:style w:type="paragraph" w:styleId="Heading3">
    <w:name w:val="Heading 3"/>
    <w:basedOn w:val="Normal"/>
    <w:next w:val="Normal"/>
    <w:qFormat/>
    <w:pPr>
      <w:spacing w:after="90" w:before="150"/>
      <w:outlineLvl w:val="2"/>
    </w:pPr>
    <w:rPr>
      <w:rFonts w:ascii="Arial" w:cs="Arial" w:eastAsia="Arial" w:hAnsi="Arial"/>
      <w:b/>
      <w:bCs/>
      <w:color w:val="33333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&amp; GTM Plan — TCL Universal Bridge</dc:title>
  <dc:creator>TCL Tech</dc:creator>
  <cp:lastModifiedBy>Un-named</cp:lastModifiedBy>
  <cp:revision>1</cp:revision>
  <dcterms:created xsi:type="dcterms:W3CDTF">2026-05-29T11:55:33.254Z</dcterms:created>
  <dcterms:modified xsi:type="dcterms:W3CDTF">2026-05-29T11:55:33.254Z</dcterms:modified>
</cp:coreProperties>
</file>

<file path=docProps/custom.xml><?xml version="1.0" encoding="utf-8"?>
<Properties xmlns="http://schemas.openxmlformats.org/officeDocument/2006/custom-properties" xmlns:vt="http://schemas.openxmlformats.org/officeDocument/2006/docPropsVTypes"/>
</file>